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16" w:rsidRPr="00903713" w:rsidRDefault="00891C16" w:rsidP="00891C16">
      <w:pPr>
        <w:pStyle w:val="Kop2"/>
        <w:numPr>
          <w:ilvl w:val="0"/>
          <w:numId w:val="0"/>
        </w:numPr>
        <w:tabs>
          <w:tab w:val="num" w:pos="576"/>
        </w:tabs>
        <w:spacing w:before="240" w:after="60" w:line="360" w:lineRule="auto"/>
        <w:rPr>
          <w:color w:val="000000"/>
          <w:sz w:val="20"/>
          <w:szCs w:val="20"/>
        </w:rPr>
      </w:pPr>
      <w:bookmarkStart w:id="0" w:name="_Toc301445858"/>
      <w:r w:rsidRPr="00903713">
        <w:rPr>
          <w:color w:val="000000"/>
          <w:sz w:val="20"/>
          <w:szCs w:val="20"/>
        </w:rPr>
        <w:t xml:space="preserve">SAPP Multi Sensor </w:t>
      </w:r>
      <w:bookmarkEnd w:id="0"/>
      <w:r w:rsidRPr="00903713">
        <w:rPr>
          <w:color w:val="000000"/>
          <w:sz w:val="20"/>
          <w:szCs w:val="20"/>
        </w:rPr>
        <w:fldChar w:fldCharType="begin"/>
      </w:r>
      <w:r w:rsidRPr="00903713">
        <w:rPr>
          <w:color w:val="000000"/>
          <w:sz w:val="20"/>
          <w:szCs w:val="20"/>
        </w:rPr>
        <w:instrText xml:space="preserve"> XE "Safety" </w:instrText>
      </w:r>
      <w:r w:rsidRPr="00903713">
        <w:rPr>
          <w:color w:val="000000"/>
          <w:sz w:val="20"/>
          <w:szCs w:val="20"/>
        </w:rPr>
        <w:fldChar w:fldCharType="end"/>
      </w:r>
      <w:r w:rsidRPr="00903713">
        <w:rPr>
          <w:color w:val="000000"/>
          <w:sz w:val="20"/>
          <w:szCs w:val="20"/>
        </w:rPr>
        <w:fldChar w:fldCharType="begin"/>
      </w:r>
      <w:r w:rsidRPr="00903713">
        <w:rPr>
          <w:color w:val="000000"/>
          <w:sz w:val="20"/>
          <w:szCs w:val="20"/>
        </w:rPr>
        <w:instrText xml:space="preserve"> XE "warnings" </w:instrText>
      </w:r>
      <w:r w:rsidRPr="00903713">
        <w:rPr>
          <w:color w:val="000000"/>
          <w:sz w:val="20"/>
          <w:szCs w:val="20"/>
        </w:rPr>
        <w:fldChar w:fldCharType="end"/>
      </w:r>
    </w:p>
    <w:p w:rsidR="00891C16" w:rsidRPr="00903713" w:rsidRDefault="00891C16" w:rsidP="00891C16">
      <w:pPr>
        <w:numPr>
          <w:ilvl w:val="0"/>
          <w:numId w:val="2"/>
        </w:numPr>
        <w:spacing w:after="0" w:line="240" w:lineRule="auto"/>
        <w:rPr>
          <w:rFonts w:ascii="Verdana" w:hAnsi="Verdana"/>
          <w:sz w:val="20"/>
          <w:szCs w:val="20"/>
        </w:rPr>
      </w:pPr>
      <w:r w:rsidRPr="00903713">
        <w:rPr>
          <w:rFonts w:ascii="Verdana" w:hAnsi="Verdana"/>
          <w:sz w:val="20"/>
          <w:szCs w:val="20"/>
        </w:rPr>
        <w:t xml:space="preserve">Een geïntegreerde </w:t>
      </w:r>
      <w:r w:rsidR="00F26AF8" w:rsidRPr="00903713">
        <w:rPr>
          <w:rFonts w:ascii="Verdana" w:hAnsi="Verdana"/>
          <w:sz w:val="20"/>
          <w:szCs w:val="20"/>
        </w:rPr>
        <w:t>sensor</w:t>
      </w:r>
      <w:r w:rsidRPr="00903713">
        <w:rPr>
          <w:rFonts w:ascii="Verdana" w:hAnsi="Verdana"/>
          <w:sz w:val="20"/>
          <w:szCs w:val="20"/>
        </w:rPr>
        <w:t xml:space="preserve"> voor plafondmontage dient te zorgen voor </w:t>
      </w:r>
      <w:proofErr w:type="spellStart"/>
      <w:r w:rsidRPr="00903713">
        <w:rPr>
          <w:rFonts w:ascii="Verdana" w:hAnsi="Verdana"/>
          <w:sz w:val="20"/>
          <w:szCs w:val="20"/>
        </w:rPr>
        <w:t>luminantiemeting</w:t>
      </w:r>
      <w:proofErr w:type="spellEnd"/>
      <w:r w:rsidRPr="00903713">
        <w:rPr>
          <w:rFonts w:ascii="Verdana" w:hAnsi="Verdana"/>
          <w:sz w:val="20"/>
          <w:szCs w:val="20"/>
        </w:rPr>
        <w:t xml:space="preserve">, bezettingswaarneming en ontvangst van signalen van IR-afstandsbediening. De drie sensorelementen dienen van elkaar gescheiden te zijn om er zeker van te zijn dat er geen interactie plaatsvindt en om de vastgelegde prestaties te kunnen leveren. De unit dient geschikt te zijn voor verzonken montage in een standaard SAPP </w:t>
      </w:r>
      <w:r w:rsidR="00F26AF8" w:rsidRPr="00903713">
        <w:rPr>
          <w:rFonts w:ascii="Verdana" w:hAnsi="Verdana"/>
          <w:sz w:val="20"/>
          <w:szCs w:val="20"/>
        </w:rPr>
        <w:t>Klimaatp</w:t>
      </w:r>
      <w:r w:rsidRPr="00903713">
        <w:rPr>
          <w:rFonts w:ascii="Verdana" w:hAnsi="Verdana"/>
          <w:sz w:val="20"/>
          <w:szCs w:val="20"/>
        </w:rPr>
        <w:t xml:space="preserve">lafond. </w:t>
      </w:r>
    </w:p>
    <w:p w:rsidR="009F193C" w:rsidRPr="00903713" w:rsidRDefault="009F193C" w:rsidP="009F193C">
      <w:pPr>
        <w:numPr>
          <w:ilvl w:val="0"/>
          <w:numId w:val="2"/>
        </w:numPr>
        <w:spacing w:after="0" w:line="240" w:lineRule="auto"/>
        <w:rPr>
          <w:rFonts w:ascii="Verdana" w:hAnsi="Verdana"/>
          <w:sz w:val="20"/>
          <w:szCs w:val="20"/>
        </w:rPr>
      </w:pPr>
      <w:r w:rsidRPr="00903713">
        <w:rPr>
          <w:rFonts w:ascii="Verdana" w:hAnsi="Verdana"/>
          <w:sz w:val="20"/>
          <w:szCs w:val="20"/>
        </w:rPr>
        <w:t>De sensor dient te worden gevoed vanuit de DALI-verbinding, waarbij de stroom niet meer dan 10 mA mag bedragen. Behalve de beperkingen die de DALI-voeding oplegt, en de beperkingen die worden opgelegd door de DALI-adressering, dienen er geen beperkingen te gelden ten aanzien van het aantal sensoren dat door het systeem wordt ondersteund.</w:t>
      </w:r>
    </w:p>
    <w:p w:rsidR="00891C16" w:rsidRPr="00903713" w:rsidRDefault="00891C16" w:rsidP="00891C16">
      <w:pPr>
        <w:numPr>
          <w:ilvl w:val="0"/>
          <w:numId w:val="2"/>
        </w:numPr>
        <w:spacing w:after="0" w:line="240" w:lineRule="auto"/>
        <w:rPr>
          <w:rFonts w:ascii="Verdana" w:hAnsi="Verdana"/>
          <w:sz w:val="20"/>
          <w:szCs w:val="20"/>
        </w:rPr>
      </w:pPr>
      <w:r w:rsidRPr="00903713">
        <w:rPr>
          <w:rFonts w:ascii="Verdana" w:hAnsi="Verdana"/>
          <w:sz w:val="20"/>
          <w:szCs w:val="20"/>
        </w:rPr>
        <w:t xml:space="preserve">Voor de DALI-aansluiting dient gebruik te worden gemaakt van tweedelige </w:t>
      </w:r>
      <w:r w:rsidR="00F26AF8" w:rsidRPr="00903713">
        <w:rPr>
          <w:rFonts w:ascii="Verdana" w:hAnsi="Verdana"/>
          <w:sz w:val="20"/>
          <w:szCs w:val="20"/>
        </w:rPr>
        <w:t>insteek verbinding</w:t>
      </w:r>
      <w:r w:rsidRPr="00903713">
        <w:rPr>
          <w:rFonts w:ascii="Verdana" w:hAnsi="Verdana"/>
          <w:sz w:val="20"/>
          <w:szCs w:val="20"/>
        </w:rPr>
        <w:t xml:space="preserve"> om de sensormodule los te kunnen koppelen.</w:t>
      </w:r>
    </w:p>
    <w:p w:rsidR="00891C16" w:rsidRPr="00903713" w:rsidRDefault="00891C16" w:rsidP="00891C16">
      <w:pPr>
        <w:numPr>
          <w:ilvl w:val="0"/>
          <w:numId w:val="2"/>
        </w:numPr>
        <w:spacing w:after="0" w:line="240" w:lineRule="auto"/>
        <w:rPr>
          <w:rFonts w:ascii="Verdana" w:hAnsi="Verdana"/>
          <w:sz w:val="20"/>
          <w:szCs w:val="20"/>
        </w:rPr>
      </w:pPr>
      <w:r w:rsidRPr="00903713">
        <w:rPr>
          <w:rFonts w:ascii="Verdana" w:hAnsi="Verdana"/>
          <w:sz w:val="20"/>
          <w:szCs w:val="20"/>
        </w:rPr>
        <w:t>Daglichtwaarneming:</w:t>
      </w:r>
      <w:r w:rsidRPr="00903713">
        <w:rPr>
          <w:rFonts w:ascii="Verdana" w:hAnsi="Verdana"/>
          <w:sz w:val="20"/>
          <w:szCs w:val="20"/>
        </w:rPr>
        <w:br/>
        <w:t xml:space="preserve">De sensor dient geoptimaliseerd </w:t>
      </w:r>
      <w:r w:rsidR="009F193C" w:rsidRPr="00903713">
        <w:rPr>
          <w:rFonts w:ascii="Verdana" w:hAnsi="Verdana"/>
          <w:sz w:val="20"/>
          <w:szCs w:val="20"/>
        </w:rPr>
        <w:t xml:space="preserve">te zijn </w:t>
      </w:r>
      <w:r w:rsidRPr="00903713">
        <w:rPr>
          <w:rFonts w:ascii="Verdana" w:hAnsi="Verdana"/>
          <w:sz w:val="20"/>
          <w:szCs w:val="20"/>
        </w:rPr>
        <w:t xml:space="preserve">voor plafondmontage op een hoogte van drie meter, ten behoeve van gebruik boven werkoppervlakken die zich op nominaal </w:t>
      </w:r>
      <w:smartTag w:uri="urn:schemas-microsoft-com:office:smarttags" w:element="metricconverter">
        <w:smartTagPr>
          <w:attr w:name="ProductID" w:val="0,8 meter"/>
        </w:smartTagPr>
        <w:r w:rsidRPr="00903713">
          <w:rPr>
            <w:rFonts w:ascii="Verdana" w:hAnsi="Verdana"/>
            <w:sz w:val="20"/>
            <w:szCs w:val="20"/>
          </w:rPr>
          <w:t>0,8 meter</w:t>
        </w:r>
      </w:smartTag>
      <w:r w:rsidRPr="00903713">
        <w:rPr>
          <w:rFonts w:ascii="Verdana" w:hAnsi="Verdana"/>
          <w:sz w:val="20"/>
          <w:szCs w:val="20"/>
        </w:rPr>
        <w:t xml:space="preserve"> boven het vloeroppervlak bevinden. De waarnemingszone dient kegelvormig te zijn en een nominale diameter van vijf meter te hebben ter hoogte van het werkoppervlak/bureaublad. Een optionele lichtkap, die samen met de geïntegreerde sensor dient te worden geleverd, dient de sensor te beschermen tegen invallend licht van de zijkanten en het waarnemingsgebied terug te brengen tot een nominale diameter van twee meter op </w:t>
      </w:r>
      <w:proofErr w:type="spellStart"/>
      <w:r w:rsidRPr="00903713">
        <w:rPr>
          <w:rFonts w:ascii="Verdana" w:hAnsi="Verdana"/>
          <w:sz w:val="20"/>
          <w:szCs w:val="20"/>
        </w:rPr>
        <w:t>werkoppervlakhoogte</w:t>
      </w:r>
      <w:proofErr w:type="spellEnd"/>
      <w:r w:rsidRPr="00903713">
        <w:rPr>
          <w:rFonts w:ascii="Verdana" w:hAnsi="Verdana"/>
          <w:sz w:val="20"/>
          <w:szCs w:val="20"/>
        </w:rPr>
        <w:t xml:space="preserve">. De sensor dient gecorrigeerd te worden voor respons van het menselijk oog en gebruik te maken van fotodiodetechnologie. Bij een gebruikelijk lichtgrijs bureaublad zal het werkbereik nominaal 10 tot </w:t>
      </w:r>
      <w:r w:rsidRPr="00903713">
        <w:rPr>
          <w:rFonts w:ascii="Verdana" w:hAnsi="Verdana"/>
          <w:color w:val="000000"/>
          <w:sz w:val="20"/>
          <w:szCs w:val="20"/>
        </w:rPr>
        <w:t>10.000 Cd/m</w:t>
      </w:r>
      <w:r w:rsidRPr="00903713">
        <w:rPr>
          <w:rFonts w:ascii="Verdana" w:hAnsi="Verdana"/>
          <w:color w:val="000000"/>
          <w:sz w:val="20"/>
          <w:szCs w:val="20"/>
          <w:vertAlign w:val="superscript"/>
        </w:rPr>
        <w:t>2</w:t>
      </w:r>
      <w:r w:rsidRPr="00903713">
        <w:rPr>
          <w:rFonts w:ascii="Verdana" w:hAnsi="Verdana"/>
          <w:color w:val="000000"/>
          <w:sz w:val="20"/>
          <w:szCs w:val="20"/>
        </w:rPr>
        <w:t xml:space="preserve"> vanaf het werkoppervlak bedragen.</w:t>
      </w:r>
    </w:p>
    <w:p w:rsidR="00891C16" w:rsidRPr="00903713" w:rsidRDefault="00891C16" w:rsidP="007B74AA">
      <w:pPr>
        <w:numPr>
          <w:ilvl w:val="0"/>
          <w:numId w:val="2"/>
        </w:numPr>
        <w:spacing w:after="0" w:line="240" w:lineRule="auto"/>
        <w:rPr>
          <w:rFonts w:ascii="Verdana" w:hAnsi="Verdana"/>
          <w:sz w:val="20"/>
          <w:szCs w:val="20"/>
        </w:rPr>
      </w:pPr>
      <w:r w:rsidRPr="00903713">
        <w:rPr>
          <w:rFonts w:ascii="Verdana" w:hAnsi="Verdana"/>
          <w:sz w:val="20"/>
          <w:szCs w:val="20"/>
        </w:rPr>
        <w:t>Aanwezigheidsdetectie:</w:t>
      </w:r>
      <w:r w:rsidRPr="00903713">
        <w:rPr>
          <w:rFonts w:ascii="Verdana" w:hAnsi="Verdana"/>
          <w:sz w:val="20"/>
          <w:szCs w:val="20"/>
        </w:rPr>
        <w:br/>
        <w:t xml:space="preserve">De sensor dient gebruik te maken van PIR-technologie met een detectiepatroon dat geoptimaliseerd is voor plafondmontage op een hoogte van drie meter en dat een kegel met een diameter van </w:t>
      </w:r>
      <w:smartTag w:uri="urn:schemas-microsoft-com:office:smarttags" w:element="metricconverter">
        <w:smartTagPr>
          <w:attr w:name="ProductID" w:val="4,5 meter"/>
        </w:smartTagPr>
        <w:r w:rsidRPr="00903713">
          <w:rPr>
            <w:rFonts w:ascii="Verdana" w:hAnsi="Verdana"/>
            <w:sz w:val="20"/>
            <w:szCs w:val="20"/>
          </w:rPr>
          <w:t>4,5 meter</w:t>
        </w:r>
      </w:smartTag>
      <w:r w:rsidRPr="00903713">
        <w:rPr>
          <w:rFonts w:ascii="Verdana" w:hAnsi="Verdana"/>
          <w:sz w:val="20"/>
          <w:szCs w:val="20"/>
        </w:rPr>
        <w:t xml:space="preserve"> op vloerniveau bestrijkt. De detectiegevoeligheid dient automatisch te worden aangepast om het risico van foutieve triggering te voorkomen als de ruimte niet bezet is, en om de gevoeligheid te verhogen bij geringe bewegingen als de ruimte bezet is. De sensoren dienen geschikt te zijn voor onafhankelijke werking in het geval van controle van kleine ruimtes of voor gezamenlijke werking in het geval van controle van grote ruimtes.</w:t>
      </w:r>
    </w:p>
    <w:p w:rsidR="00891C16" w:rsidRPr="00903713" w:rsidRDefault="00F26AF8" w:rsidP="00891C16">
      <w:pPr>
        <w:pStyle w:val="Koptekst"/>
        <w:numPr>
          <w:ilvl w:val="0"/>
          <w:numId w:val="2"/>
        </w:numPr>
        <w:tabs>
          <w:tab w:val="clear" w:pos="4320"/>
          <w:tab w:val="clear" w:pos="8640"/>
        </w:tabs>
        <w:rPr>
          <w:szCs w:val="20"/>
          <w:lang w:val="nl-NL"/>
        </w:rPr>
      </w:pPr>
      <w:r w:rsidRPr="00903713">
        <w:rPr>
          <w:szCs w:val="20"/>
          <w:lang w:val="nl-NL"/>
        </w:rPr>
        <w:t xml:space="preserve">IR-ontvanger </w:t>
      </w:r>
      <w:proofErr w:type="spellStart"/>
      <w:r w:rsidRPr="00903713">
        <w:rPr>
          <w:szCs w:val="20"/>
          <w:lang w:val="nl-NL"/>
        </w:rPr>
        <w:t>tbv</w:t>
      </w:r>
      <w:proofErr w:type="spellEnd"/>
      <w:r w:rsidRPr="00903713">
        <w:rPr>
          <w:szCs w:val="20"/>
          <w:lang w:val="nl-NL"/>
        </w:rPr>
        <w:t xml:space="preserve"> handbediening.</w:t>
      </w:r>
      <w:r w:rsidR="00891C16" w:rsidRPr="00903713">
        <w:rPr>
          <w:szCs w:val="20"/>
          <w:lang w:val="nl-NL"/>
        </w:rPr>
        <w:br/>
        <w:t>De sensor dient dezelfde prestaties te bieden als de IR-sensor op een handbedieningspaneel. Hij dient te beschikken over zeven onafhankelijk programmeerbare functies, waaronder:</w:t>
      </w:r>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oproep van vaste verlichtingsniveaus</w:t>
      </w:r>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oproep van een ‘constant lichtniveau’ (d.w.z. een niveau gebaseerd op gebruik van een fotosensor)</w:t>
      </w:r>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‘niveau omhoog’</w:t>
      </w:r>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‘niveau omlaag’</w:t>
      </w:r>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 xml:space="preserve">oproep van </w:t>
      </w:r>
      <w:proofErr w:type="spellStart"/>
      <w:r w:rsidRPr="00903713">
        <w:rPr>
          <w:rFonts w:ascii="Verdana" w:hAnsi="Verdana"/>
          <w:sz w:val="20"/>
          <w:szCs w:val="20"/>
        </w:rPr>
        <w:t>belastingsmaximum</w:t>
      </w:r>
      <w:proofErr w:type="spellEnd"/>
    </w:p>
    <w:p w:rsidR="00891C16"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 xml:space="preserve">oproep van </w:t>
      </w:r>
      <w:proofErr w:type="spellStart"/>
      <w:r w:rsidRPr="00903713">
        <w:rPr>
          <w:rFonts w:ascii="Verdana" w:hAnsi="Verdana"/>
          <w:sz w:val="20"/>
          <w:szCs w:val="20"/>
        </w:rPr>
        <w:t>belastingsminimum</w:t>
      </w:r>
      <w:proofErr w:type="spellEnd"/>
    </w:p>
    <w:p w:rsidR="00F26AF8" w:rsidRPr="00903713" w:rsidRDefault="00891C16" w:rsidP="00F26AF8">
      <w:pPr>
        <w:pStyle w:val="Lijstalinea"/>
        <w:numPr>
          <w:ilvl w:val="0"/>
          <w:numId w:val="3"/>
        </w:numPr>
        <w:rPr>
          <w:rFonts w:ascii="Verdana" w:hAnsi="Verdana"/>
          <w:sz w:val="20"/>
          <w:szCs w:val="20"/>
        </w:rPr>
      </w:pPr>
      <w:r w:rsidRPr="00903713">
        <w:rPr>
          <w:rFonts w:ascii="Verdana" w:hAnsi="Verdana"/>
          <w:sz w:val="20"/>
          <w:szCs w:val="20"/>
        </w:rPr>
        <w:t>‘uit’</w:t>
      </w:r>
      <w:r w:rsidR="00F26AF8" w:rsidRPr="00903713">
        <w:rPr>
          <w:rFonts w:ascii="Verdana" w:hAnsi="Verdana"/>
          <w:sz w:val="20"/>
          <w:szCs w:val="20"/>
        </w:rPr>
        <w:t xml:space="preserve">  </w:t>
      </w:r>
    </w:p>
    <w:p w:rsidR="009F193C" w:rsidRPr="00903713" w:rsidRDefault="009F193C" w:rsidP="009F193C">
      <w:pPr>
        <w:pStyle w:val="Lijstalinea"/>
        <w:numPr>
          <w:ilvl w:val="0"/>
          <w:numId w:val="2"/>
        </w:numPr>
        <w:rPr>
          <w:rFonts w:ascii="Verdana" w:hAnsi="Verdana"/>
          <w:sz w:val="20"/>
          <w:szCs w:val="20"/>
        </w:rPr>
      </w:pPr>
      <w:r w:rsidRPr="00903713">
        <w:rPr>
          <w:rFonts w:ascii="Verdana" w:hAnsi="Verdana"/>
          <w:sz w:val="20"/>
          <w:szCs w:val="20"/>
        </w:rPr>
        <w:t>De sensor dient multifunctioneel te zijn. Naast sturing van verlichting moet het mogelijk zijn de aanwezigheid in een ruimte als DALI signaal om te zetten naar BAC-net of een ASCII-codering op een open ethernet Backbone. Hiermee is eenvoudig integratie met een GBS en andere systemen te realiseren.</w:t>
      </w:r>
    </w:p>
    <w:p w:rsidR="00903713" w:rsidRPr="00903713" w:rsidRDefault="00903713" w:rsidP="00891C16">
      <w:pPr>
        <w:pStyle w:val="Plattetekstinspringen"/>
        <w:spacing w:after="0"/>
        <w:ind w:left="0"/>
        <w:rPr>
          <w:szCs w:val="20"/>
          <w:lang w:val="nl-NL"/>
        </w:rPr>
      </w:pPr>
      <w:r w:rsidRPr="00903713">
        <w:rPr>
          <w:szCs w:val="20"/>
          <w:lang w:val="nl-NL"/>
        </w:rPr>
        <w:t xml:space="preserve">Kleur: RAL9005 </w:t>
      </w:r>
      <w:proofErr w:type="spellStart"/>
      <w:r w:rsidRPr="00903713">
        <w:rPr>
          <w:szCs w:val="20"/>
          <w:lang w:val="nl-NL"/>
        </w:rPr>
        <w:t>Krasvast</w:t>
      </w:r>
      <w:proofErr w:type="spellEnd"/>
    </w:p>
    <w:p w:rsidR="00891C16" w:rsidRPr="00903713" w:rsidRDefault="00891C16" w:rsidP="00891C16">
      <w:pPr>
        <w:pStyle w:val="Plattetekstinspringen"/>
        <w:spacing w:after="0"/>
        <w:ind w:left="0"/>
        <w:rPr>
          <w:szCs w:val="20"/>
          <w:lang w:val="nl-NL"/>
        </w:rPr>
      </w:pPr>
      <w:r w:rsidRPr="00903713">
        <w:rPr>
          <w:szCs w:val="20"/>
          <w:lang w:val="nl-NL"/>
        </w:rPr>
        <w:t>Afmeting</w:t>
      </w:r>
      <w:r w:rsidR="009F193C" w:rsidRPr="00903713">
        <w:rPr>
          <w:szCs w:val="20"/>
          <w:lang w:val="nl-NL"/>
        </w:rPr>
        <w:t xml:space="preserve"> sensor</w:t>
      </w:r>
      <w:r w:rsidRPr="00903713">
        <w:rPr>
          <w:szCs w:val="20"/>
          <w:lang w:val="nl-NL"/>
        </w:rPr>
        <w:t>: 5</w:t>
      </w:r>
      <w:r w:rsidR="00F26AF8" w:rsidRPr="00903713">
        <w:rPr>
          <w:szCs w:val="20"/>
          <w:lang w:val="nl-NL"/>
        </w:rPr>
        <w:t>3</w:t>
      </w:r>
      <w:r w:rsidRPr="00903713">
        <w:rPr>
          <w:szCs w:val="20"/>
          <w:lang w:val="nl-NL"/>
        </w:rPr>
        <w:t>mm</w:t>
      </w:r>
      <w:r w:rsidR="00F26AF8" w:rsidRPr="00903713">
        <w:rPr>
          <w:szCs w:val="20"/>
          <w:lang w:val="nl-NL"/>
        </w:rPr>
        <w:t xml:space="preserve"> x 26mm</w:t>
      </w:r>
      <w:r w:rsidRPr="00903713">
        <w:rPr>
          <w:szCs w:val="20"/>
          <w:lang w:val="nl-NL"/>
        </w:rPr>
        <w:t>, diepte 26,4mm</w:t>
      </w:r>
    </w:p>
    <w:p w:rsidR="009E6641" w:rsidRPr="00903713" w:rsidRDefault="00891C16" w:rsidP="00903713">
      <w:pPr>
        <w:pStyle w:val="Plattetekstinspringen"/>
        <w:spacing w:after="0"/>
        <w:ind w:left="0"/>
        <w:rPr>
          <w:szCs w:val="20"/>
        </w:rPr>
      </w:pPr>
      <w:r w:rsidRPr="00903713">
        <w:rPr>
          <w:szCs w:val="20"/>
          <w:lang w:val="nl-NL"/>
        </w:rPr>
        <w:t>Helvar type</w:t>
      </w:r>
      <w:r w:rsidR="00F26AF8" w:rsidRPr="00903713">
        <w:rPr>
          <w:szCs w:val="20"/>
          <w:lang w:val="nl-NL"/>
        </w:rPr>
        <w:t>:</w:t>
      </w:r>
      <w:r w:rsidRPr="00903713">
        <w:rPr>
          <w:szCs w:val="20"/>
          <w:lang w:val="nl-NL"/>
        </w:rPr>
        <w:t xml:space="preserve"> </w:t>
      </w:r>
      <w:r w:rsidRPr="00903713">
        <w:rPr>
          <w:b/>
          <w:szCs w:val="20"/>
          <w:lang w:val="nl-NL"/>
        </w:rPr>
        <w:t>31</w:t>
      </w:r>
      <w:r w:rsidR="00F26AF8" w:rsidRPr="00903713">
        <w:rPr>
          <w:b/>
          <w:szCs w:val="20"/>
          <w:lang w:val="nl-NL"/>
        </w:rPr>
        <w:t>5/SAPP</w:t>
      </w:r>
      <w:r w:rsidRPr="00903713">
        <w:rPr>
          <w:szCs w:val="20"/>
          <w:lang w:val="nl-NL"/>
        </w:rPr>
        <w:t xml:space="preserve">  </w:t>
      </w:r>
      <w:bookmarkStart w:id="1" w:name="_GoBack"/>
      <w:bookmarkEnd w:id="1"/>
    </w:p>
    <w:sectPr w:rsidR="009E6641" w:rsidRPr="00903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3470E"/>
    <w:multiLevelType w:val="multilevel"/>
    <w:tmpl w:val="839C5A26"/>
    <w:lvl w:ilvl="0">
      <w:start w:val="1"/>
      <w:numFmt w:val="decimal"/>
      <w:lvlText w:val="%1"/>
      <w:lvlJc w:val="left"/>
      <w:pPr>
        <w:tabs>
          <w:tab w:val="num" w:pos="360"/>
        </w:tabs>
        <w:ind w:left="0" w:firstLine="0"/>
      </w:pPr>
      <w:rPr>
        <w:rFonts w:ascii="Verdana" w:hAnsi="Verdana" w:hint="default"/>
        <w:b/>
        <w:i w:val="0"/>
        <w:color w:val="auto"/>
        <w:sz w:val="20"/>
        <w:szCs w:val="20"/>
      </w:rPr>
    </w:lvl>
    <w:lvl w:ilvl="1">
      <w:start w:val="1"/>
      <w:numFmt w:val="decimal"/>
      <w:pStyle w:val="Kop2"/>
      <w:lvlText w:val="%1.%2  "/>
      <w:lvlJc w:val="left"/>
      <w:pPr>
        <w:tabs>
          <w:tab w:val="num" w:pos="460"/>
        </w:tabs>
        <w:ind w:left="100" w:firstLine="0"/>
      </w:pPr>
      <w:rPr>
        <w:rFonts w:ascii="Verdana" w:hAnsi="Verdana"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5E122F4F"/>
    <w:multiLevelType w:val="hybridMultilevel"/>
    <w:tmpl w:val="E1ECD39A"/>
    <w:lvl w:ilvl="0" w:tplc="B21085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DD37EC"/>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41"/>
    <w:rsid w:val="00087FBE"/>
    <w:rsid w:val="002F68C3"/>
    <w:rsid w:val="00330F20"/>
    <w:rsid w:val="00835CA3"/>
    <w:rsid w:val="00857BF3"/>
    <w:rsid w:val="00891C16"/>
    <w:rsid w:val="008D6A3F"/>
    <w:rsid w:val="00903713"/>
    <w:rsid w:val="009E6641"/>
    <w:rsid w:val="009F193C"/>
    <w:rsid w:val="00C64F1B"/>
    <w:rsid w:val="00F26A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6879D8"/>
  <w15:chartTrackingRefBased/>
  <w15:docId w15:val="{795D3E2F-7C11-4650-BD3B-33764D16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891C16"/>
    <w:pPr>
      <w:keepNext/>
      <w:numPr>
        <w:ilvl w:val="1"/>
        <w:numId w:val="1"/>
      </w:numPr>
      <w:spacing w:after="0" w:line="240" w:lineRule="auto"/>
      <w:outlineLvl w:val="1"/>
    </w:pPr>
    <w:rPr>
      <w:rFonts w:ascii="Verdana" w:eastAsia="Times New Roman" w:hAnsi="Verdana" w:cs="Times New Roman"/>
      <w:b/>
      <w:color w:val="333333"/>
      <w:sz w:val="16"/>
      <w:szCs w:val="24"/>
      <w:lang w:eastAsia="nl-NL"/>
    </w:rPr>
  </w:style>
  <w:style w:type="paragraph" w:styleId="Kop4">
    <w:name w:val="heading 4"/>
    <w:basedOn w:val="Standaard"/>
    <w:next w:val="Standaard"/>
    <w:link w:val="Kop4Char"/>
    <w:qFormat/>
    <w:rsid w:val="00891C16"/>
    <w:pPr>
      <w:keepNext/>
      <w:numPr>
        <w:ilvl w:val="3"/>
        <w:numId w:val="1"/>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891C16"/>
    <w:pPr>
      <w:numPr>
        <w:ilvl w:val="4"/>
        <w:numId w:val="1"/>
      </w:numPr>
      <w:spacing w:before="240" w:after="60" w:line="240" w:lineRule="auto"/>
      <w:outlineLvl w:val="4"/>
    </w:pPr>
    <w:rPr>
      <w:rFonts w:ascii="Verdana" w:eastAsia="Times New Roman" w:hAnsi="Verdana" w:cs="Times New Roman"/>
      <w:b/>
      <w:bCs/>
      <w:i/>
      <w:iCs/>
      <w:sz w:val="26"/>
      <w:szCs w:val="26"/>
      <w:lang w:eastAsia="nl-NL"/>
    </w:rPr>
  </w:style>
  <w:style w:type="paragraph" w:styleId="Kop6">
    <w:name w:val="heading 6"/>
    <w:basedOn w:val="Standaard"/>
    <w:next w:val="Standaard"/>
    <w:link w:val="Kop6Char"/>
    <w:qFormat/>
    <w:rsid w:val="00891C16"/>
    <w:pPr>
      <w:numPr>
        <w:ilvl w:val="5"/>
        <w:numId w:val="1"/>
      </w:numPr>
      <w:spacing w:before="240" w:after="60" w:line="240" w:lineRule="auto"/>
      <w:outlineLvl w:val="5"/>
    </w:pPr>
    <w:rPr>
      <w:rFonts w:ascii="Times New Roman" w:eastAsia="Times New Roman" w:hAnsi="Times New Roman" w:cs="Times New Roman"/>
      <w:b/>
      <w:bCs/>
      <w:lang w:eastAsia="nl-NL"/>
    </w:rPr>
  </w:style>
  <w:style w:type="paragraph" w:styleId="Kop7">
    <w:name w:val="heading 7"/>
    <w:basedOn w:val="Standaard"/>
    <w:next w:val="Standaard"/>
    <w:link w:val="Kop7Char"/>
    <w:qFormat/>
    <w:rsid w:val="00891C16"/>
    <w:pPr>
      <w:numPr>
        <w:ilvl w:val="6"/>
        <w:numId w:val="1"/>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891C16"/>
    <w:pPr>
      <w:numPr>
        <w:ilvl w:val="7"/>
        <w:numId w:val="1"/>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891C16"/>
    <w:pPr>
      <w:numPr>
        <w:ilvl w:val="8"/>
        <w:numId w:val="1"/>
      </w:numPr>
      <w:spacing w:before="240" w:after="60" w:line="240" w:lineRule="auto"/>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91C16"/>
    <w:rPr>
      <w:rFonts w:ascii="Verdana" w:eastAsia="Times New Roman" w:hAnsi="Verdana" w:cs="Times New Roman"/>
      <w:b/>
      <w:color w:val="333333"/>
      <w:sz w:val="16"/>
      <w:szCs w:val="24"/>
      <w:lang w:eastAsia="nl-NL"/>
    </w:rPr>
  </w:style>
  <w:style w:type="character" w:customStyle="1" w:styleId="Kop4Char">
    <w:name w:val="Kop 4 Char"/>
    <w:basedOn w:val="Standaardalinea-lettertype"/>
    <w:link w:val="Kop4"/>
    <w:rsid w:val="00891C16"/>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891C16"/>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891C16"/>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891C16"/>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891C16"/>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891C16"/>
    <w:rPr>
      <w:rFonts w:ascii="Arial" w:eastAsia="Times New Roman" w:hAnsi="Arial" w:cs="Arial"/>
      <w:lang w:eastAsia="nl-NL"/>
    </w:rPr>
  </w:style>
  <w:style w:type="paragraph" w:styleId="Koptekst">
    <w:name w:val="header"/>
    <w:basedOn w:val="Standaard"/>
    <w:link w:val="KoptekstChar"/>
    <w:rsid w:val="00891C16"/>
    <w:pPr>
      <w:tabs>
        <w:tab w:val="center" w:pos="4320"/>
        <w:tab w:val="right" w:pos="8640"/>
      </w:tabs>
      <w:spacing w:after="0" w:line="240" w:lineRule="auto"/>
    </w:pPr>
    <w:rPr>
      <w:rFonts w:ascii="Verdana" w:eastAsia="Times New Roman" w:hAnsi="Verdana" w:cs="Times New Roman"/>
      <w:sz w:val="20"/>
      <w:szCs w:val="24"/>
      <w:lang w:val="en-US"/>
    </w:rPr>
  </w:style>
  <w:style w:type="character" w:customStyle="1" w:styleId="KoptekstChar">
    <w:name w:val="Koptekst Char"/>
    <w:basedOn w:val="Standaardalinea-lettertype"/>
    <w:link w:val="Koptekst"/>
    <w:rsid w:val="00891C16"/>
    <w:rPr>
      <w:rFonts w:ascii="Verdana" w:eastAsia="Times New Roman" w:hAnsi="Verdana" w:cs="Times New Roman"/>
      <w:sz w:val="20"/>
      <w:szCs w:val="24"/>
      <w:lang w:val="en-US"/>
    </w:rPr>
  </w:style>
  <w:style w:type="paragraph" w:styleId="Plattetekstinspringen">
    <w:name w:val="Body Text Indent"/>
    <w:basedOn w:val="Standaard"/>
    <w:link w:val="PlattetekstinspringenChar"/>
    <w:rsid w:val="00891C16"/>
    <w:pPr>
      <w:spacing w:after="120" w:line="240" w:lineRule="auto"/>
      <w:ind w:left="283"/>
    </w:pPr>
    <w:rPr>
      <w:rFonts w:ascii="Verdana" w:eastAsia="Times New Roman" w:hAnsi="Verdana" w:cs="Times New Roman"/>
      <w:sz w:val="20"/>
      <w:szCs w:val="24"/>
      <w:lang w:val="en-US"/>
    </w:rPr>
  </w:style>
  <w:style w:type="character" w:customStyle="1" w:styleId="PlattetekstinspringenChar">
    <w:name w:val="Platte tekst inspringen Char"/>
    <w:basedOn w:val="Standaardalinea-lettertype"/>
    <w:link w:val="Plattetekstinspringen"/>
    <w:rsid w:val="00891C16"/>
    <w:rPr>
      <w:rFonts w:ascii="Verdana" w:eastAsia="Times New Roman" w:hAnsi="Verdana" w:cs="Times New Roman"/>
      <w:sz w:val="20"/>
      <w:szCs w:val="24"/>
      <w:lang w:val="en-US"/>
    </w:rPr>
  </w:style>
  <w:style w:type="paragraph" w:styleId="Lijstalinea">
    <w:name w:val="List Paragraph"/>
    <w:basedOn w:val="Standaard"/>
    <w:uiPriority w:val="34"/>
    <w:qFormat/>
    <w:rsid w:val="00F26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266D7-6DDA-4CAB-A24C-0882B783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508</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Cleton</dc:creator>
  <cp:keywords/>
  <dc:description/>
  <cp:lastModifiedBy>Kees Cleton</cp:lastModifiedBy>
  <cp:revision>3</cp:revision>
  <dcterms:created xsi:type="dcterms:W3CDTF">2019-10-01T11:22:00Z</dcterms:created>
  <dcterms:modified xsi:type="dcterms:W3CDTF">2019-10-01T14:29:00Z</dcterms:modified>
</cp:coreProperties>
</file>